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49" w:rsidRPr="00654062" w:rsidRDefault="00063D49" w:rsidP="00063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40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воспитателей</w:t>
      </w:r>
    </w:p>
    <w:p w:rsidR="00063D49" w:rsidRDefault="00063D49" w:rsidP="00063D4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40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Проектно-экспериментальная деятельность с детьми в процессе летнего периода»</w:t>
      </w:r>
    </w:p>
    <w:p w:rsidR="00063D49" w:rsidRPr="00654062" w:rsidRDefault="00063D49" w:rsidP="00063D4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6540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уголков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экспериментальной деятельности</w:t>
      </w:r>
      <w:r w:rsidRPr="0065406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63D49" w:rsidRDefault="00063D49" w:rsidP="00063D4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6164D" w:rsidRDefault="0016164D" w:rsidP="0016164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воспитатель Гребенникова Н.А.</w:t>
      </w:r>
    </w:p>
    <w:p w:rsidR="0016164D" w:rsidRDefault="0016164D" w:rsidP="0016164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06C7" w:rsidRDefault="006B06C7" w:rsidP="00063D4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64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063D49" w:rsidRPr="0016164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акую роль играет экспериментирование в развитии ребенка-дош</w:t>
      </w:r>
      <w:r w:rsidRPr="0016164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кольника?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академика Н.Н. </w:t>
      </w:r>
      <w:proofErr w:type="spellStart"/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Подъякова</w:t>
      </w:r>
      <w:proofErr w:type="spellEnd"/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  В ходе экспериментальной деятельности создаются ситуации, которые ребенок разрешает п</w:t>
      </w:r>
      <w:r w:rsidR="00063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осредством проведения опыта и, </w:t>
      </w:r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анализируя, делает вывод, умозаключение, самостоятельно овладевая представлением о том или ином закон</w:t>
      </w:r>
      <w:r w:rsidR="00063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или явлении. </w:t>
      </w:r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работу таким образом, чтобы дети могли повторить опыт, показанный взрослым, могли наблюдать, отвечать на вопросы, используя результат опытов.  При такой форме ребенок овладевает экспериментированием как видом деятельности и его действия носят репродуктивный характер. Экспериментирование не становится самоценной деятельностью, так как возникает по инициативе взрослого. Для того</w:t>
      </w:r>
      <w:proofErr w:type="gramStart"/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экспериментирование стало ведущим видом деятельности, оно должно возникат</w:t>
      </w:r>
      <w:r w:rsidR="00063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по инициативе самого ребенка. </w:t>
      </w:r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деятельность по программам нового поколения состоит в систематизации, углублении, </w:t>
      </w:r>
      <w:proofErr w:type="gramStart"/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обобщении личного опыта ребенка: в освоении новых, сложных способов познавательной деятельности, в осознании связей и зависимостей, которые скрыты от детей и требуют для освоения специальных условий и управления со стороны педагога.</w:t>
      </w:r>
      <w:proofErr w:type="gramEnd"/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Обязательным элементом образа жизни дошкольников является участие в разрешении проблемных ситуаций, в проведении элементарных опытов, экспериментировании, в изготовлении моделей.</w:t>
      </w:r>
      <w:r w:rsidR="00063D49" w:rsidRPr="009E6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Следует отметить, что в возрасте 3-х лет дети еще не могут оперировать</w:t>
      </w:r>
      <w:r w:rsidR="00063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3D49" w:rsidRPr="005D7B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представлениями в вербальной форме, без опоры на наглядность, поэтому они в подавляющем большинстве случаев не понимают объяснений взрослого и стремятся установить все связи самостоятельно. После 5 лет начинается этап, когда детская деятельность расходится по двум направлениям: одно направление - превращается в игру, второе  - в осознанное экспериментирование. Эксперимент, самостоятельно проводимый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себя.</w:t>
      </w:r>
      <w:r w:rsidR="00063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3D49" w:rsidRPr="005D7B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всего вышеизложенного можно сделать вывод, что для детей дошкольного возраста экспериментирование, наравне с игрой является ведущим видом деятельности. </w:t>
      </w:r>
    </w:p>
    <w:p w:rsidR="00063D49" w:rsidRPr="0016164D" w:rsidRDefault="006B06C7" w:rsidP="001616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6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063D49" w:rsidRPr="0016164D">
        <w:rPr>
          <w:rFonts w:ascii="Times New Roman" w:hAnsi="Times New Roman" w:cs="Times New Roman"/>
          <w:b/>
          <w:sz w:val="28"/>
          <w:szCs w:val="28"/>
        </w:rPr>
        <w:t>Структура детского экспериментирования. Как и любая деятельность, </w:t>
      </w:r>
      <w:r w:rsidR="00063D49" w:rsidRPr="0016164D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экспериментирования имеет свою структуру: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16164D">
        <w:rPr>
          <w:rFonts w:ascii="Times New Roman" w:hAnsi="Times New Roman" w:cs="Times New Roman"/>
          <w:b/>
          <w:sz w:val="28"/>
          <w:szCs w:val="28"/>
        </w:rPr>
        <w:t> </w:t>
      </w:r>
      <w:r w:rsidRPr="0016164D">
        <w:rPr>
          <w:rFonts w:ascii="Times New Roman" w:hAnsi="Times New Roman" w:cs="Times New Roman"/>
          <w:sz w:val="28"/>
          <w:szCs w:val="28"/>
        </w:rPr>
        <w:t>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  <w:r w:rsidRPr="0016164D">
        <w:rPr>
          <w:rFonts w:ascii="Times New Roman" w:hAnsi="Times New Roman" w:cs="Times New Roman"/>
          <w:sz w:val="28"/>
          <w:szCs w:val="28"/>
        </w:rPr>
        <w:t> 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Содержание:</w:t>
      </w:r>
      <w:r w:rsidRPr="0016164D">
        <w:rPr>
          <w:rFonts w:ascii="Times New Roman" w:hAnsi="Times New Roman" w:cs="Times New Roman"/>
          <w:sz w:val="28"/>
          <w:szCs w:val="28"/>
        </w:rPr>
        <w:t> информация об объектах и явлениях, предметах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Мотив: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Средства:</w:t>
      </w:r>
      <w:r w:rsidRPr="0016164D">
        <w:rPr>
          <w:rFonts w:ascii="Times New Roman" w:hAnsi="Times New Roman" w:cs="Times New Roman"/>
          <w:sz w:val="28"/>
          <w:szCs w:val="28"/>
        </w:rPr>
        <w:t> язык, речь, поисковые действия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Формы:</w:t>
      </w:r>
      <w:r w:rsidRPr="0016164D">
        <w:rPr>
          <w:rFonts w:ascii="Times New Roman" w:hAnsi="Times New Roman" w:cs="Times New Roman"/>
          <w:sz w:val="28"/>
          <w:szCs w:val="28"/>
        </w:rPr>
        <w:t> элементарно-поисковая деятельность, опыты, эксперименты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Условия:</w:t>
      </w:r>
      <w:r w:rsidRPr="0016164D">
        <w:rPr>
          <w:rFonts w:ascii="Times New Roman" w:hAnsi="Times New Roman" w:cs="Times New Roman"/>
          <w:sz w:val="28"/>
          <w:szCs w:val="28"/>
        </w:rPr>
        <w:t> 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b/>
          <w:i/>
          <w:iCs/>
          <w:sz w:val="28"/>
          <w:szCs w:val="28"/>
        </w:rPr>
        <w:t>Результат:</w:t>
      </w:r>
      <w:r w:rsidRPr="0016164D">
        <w:rPr>
          <w:rFonts w:ascii="Times New Roman" w:hAnsi="Times New Roman" w:cs="Times New Roman"/>
          <w:sz w:val="28"/>
          <w:szCs w:val="28"/>
        </w:rPr>
        <w:t> опыт самостоятельной деятельности, исследовательской работы, новые знания и умения, составляющие целый спектр психических новообразований. 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Последовательность детского экспериментирования.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64D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16164D">
        <w:rPr>
          <w:rFonts w:ascii="Times New Roman" w:hAnsi="Times New Roman" w:cs="Times New Roman"/>
          <w:sz w:val="28"/>
          <w:szCs w:val="28"/>
        </w:rPr>
        <w:t>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Выдвижение гипотез.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Проверка предположения.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Если предположение подтвердилось: формулирование выводов (как получилось)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В процессе экспериментирования ребенку необходимо ответить на следующие вопросы: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Как я это делаю? Почему я это делаю именно так, а не иначе?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Зачем я это делаю, что хочу узнать, что получилось в результате?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 xml:space="preserve">Примерная структура </w:t>
      </w:r>
      <w:proofErr w:type="gramStart"/>
      <w:r w:rsidRPr="0016164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16164D">
        <w:rPr>
          <w:rFonts w:ascii="Times New Roman" w:hAnsi="Times New Roman" w:cs="Times New Roman"/>
          <w:sz w:val="28"/>
          <w:szCs w:val="28"/>
        </w:rPr>
        <w:t xml:space="preserve"> деятельности-экспериментирования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Постановка исследовательской задачи в виде того или иного варианта проблемной ситуации.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Уточнение плана исследования.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Выбор оборудования, самостоятельное его размещение детьми в зоне исследования.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Анализ и обобщение полученных детьми результатов экспериментирования. </w:t>
      </w:r>
    </w:p>
    <w:p w:rsidR="00415400" w:rsidRPr="0016164D" w:rsidRDefault="006B06C7" w:rsidP="0016164D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63D49" w:rsidRPr="0016164D">
        <w:rPr>
          <w:rFonts w:ascii="Times New Roman" w:hAnsi="Times New Roman" w:cs="Times New Roman"/>
          <w:b/>
          <w:sz w:val="28"/>
          <w:szCs w:val="28"/>
        </w:rPr>
        <w:t>Содержание уголков экспериментальной деятельности.</w:t>
      </w:r>
      <w:r w:rsidR="00063D49" w:rsidRPr="0016164D">
        <w:rPr>
          <w:rFonts w:ascii="Times New Roman" w:hAnsi="Times New Roman" w:cs="Times New Roman"/>
          <w:b/>
          <w:sz w:val="28"/>
          <w:szCs w:val="28"/>
        </w:rPr>
        <w:br/>
      </w:r>
      <w:r w:rsidR="00063D49" w:rsidRPr="0016164D">
        <w:rPr>
          <w:rFonts w:ascii="Times New Roman" w:hAnsi="Times New Roman" w:cs="Times New Roman"/>
          <w:b/>
          <w:i/>
          <w:iCs/>
          <w:sz w:val="28"/>
          <w:szCs w:val="28"/>
        </w:rPr>
        <w:t>Задачи уголка: </w:t>
      </w:r>
    </w:p>
    <w:p w:rsidR="00063D49" w:rsidRPr="0016164D" w:rsidRDefault="0016164D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3D49" w:rsidRPr="0016164D">
        <w:rPr>
          <w:rFonts w:ascii="Times New Roman" w:hAnsi="Times New Roman" w:cs="Times New Roman"/>
          <w:sz w:val="28"/>
          <w:szCs w:val="28"/>
        </w:rPr>
        <w:t xml:space="preserve">развитие первичных естественнонаучных представлений. </w:t>
      </w:r>
      <w:proofErr w:type="gramStart"/>
      <w:r w:rsidR="00063D49" w:rsidRPr="0016164D">
        <w:rPr>
          <w:rFonts w:ascii="Times New Roman" w:hAnsi="Times New Roman" w:cs="Times New Roman"/>
          <w:sz w:val="28"/>
          <w:szCs w:val="28"/>
        </w:rPr>
        <w:t>Н</w:t>
      </w:r>
      <w:r w:rsidR="00415400" w:rsidRPr="0016164D">
        <w:rPr>
          <w:rFonts w:ascii="Times New Roman" w:hAnsi="Times New Roman" w:cs="Times New Roman"/>
          <w:sz w:val="28"/>
          <w:szCs w:val="28"/>
        </w:rPr>
        <w:t xml:space="preserve">аблюдательности, любознательности, активности, </w:t>
      </w:r>
      <w:r w:rsidR="00063D49" w:rsidRPr="0016164D">
        <w:rPr>
          <w:rFonts w:ascii="Times New Roman" w:hAnsi="Times New Roman" w:cs="Times New Roman"/>
          <w:sz w:val="28"/>
          <w:szCs w:val="28"/>
        </w:rPr>
        <w:t xml:space="preserve">мыслительных  операций: анализ, сравнение, обобщение, классификация, наблюдение;  </w:t>
      </w:r>
      <w:r w:rsidR="00415400" w:rsidRPr="0016164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63D49" w:rsidRPr="0016164D">
        <w:rPr>
          <w:rFonts w:ascii="Times New Roman" w:hAnsi="Times New Roman" w:cs="Times New Roman"/>
          <w:sz w:val="28"/>
          <w:szCs w:val="28"/>
        </w:rPr>
        <w:t>умений комплексно обследовать предмет.</w:t>
      </w:r>
      <w:proofErr w:type="gramEnd"/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:rsidR="00063D49" w:rsidRPr="0016164D" w:rsidRDefault="006B06C7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1)</w:t>
      </w:r>
      <w:r w:rsidR="00063D49" w:rsidRPr="0016164D">
        <w:rPr>
          <w:rFonts w:ascii="Times New Roman" w:hAnsi="Times New Roman" w:cs="Times New Roman"/>
          <w:sz w:val="28"/>
          <w:szCs w:val="28"/>
        </w:rPr>
        <w:t>место для постоянной выставки, где размещают музей, различные коллекции. Экспонаты, редкие предметы (раковины</w:t>
      </w:r>
      <w:r w:rsidRPr="0016164D">
        <w:rPr>
          <w:rFonts w:ascii="Times New Roman" w:hAnsi="Times New Roman" w:cs="Times New Roman"/>
          <w:sz w:val="28"/>
          <w:szCs w:val="28"/>
        </w:rPr>
        <w:t>, камни, кристаллы, перья</w:t>
      </w:r>
      <w:r w:rsidR="00063D49" w:rsidRPr="0016164D">
        <w:rPr>
          <w:rFonts w:ascii="Times New Roman" w:hAnsi="Times New Roman" w:cs="Times New Roman"/>
          <w:sz w:val="28"/>
          <w:szCs w:val="28"/>
        </w:rPr>
        <w:t>)</w:t>
      </w:r>
      <w:r w:rsidRPr="0016164D">
        <w:rPr>
          <w:rFonts w:ascii="Times New Roman" w:hAnsi="Times New Roman" w:cs="Times New Roman"/>
          <w:sz w:val="28"/>
          <w:szCs w:val="28"/>
        </w:rPr>
        <w:t>.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2) Место для приборов. Место для хранения материалов (природного, "бросового")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3) Место для проведения опытов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</w:rPr>
        <w:t>4) Место для неструктурированных материалов (песок, вода, опилки, стружка, пенопласт и др.)</w:t>
      </w:r>
    </w:p>
    <w:p w:rsidR="00063D49" w:rsidRPr="0016164D" w:rsidRDefault="00063D49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исследовательских способностей ребенка —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надежнее для ребенка тех сведений о мире, что получены репродуктивным путем.</w:t>
      </w:r>
    </w:p>
    <w:p w:rsidR="00063D49" w:rsidRPr="0016164D" w:rsidRDefault="006B06C7" w:rsidP="00161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063D49" w:rsidRPr="00161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Вводимые (ФГОС) направлены сегодня на достижение у дошкольников целей развития познавательных интересов, интеллектуального развития, детской одаренности.</w:t>
      </w:r>
    </w:p>
    <w:p w:rsidR="003C7ABB" w:rsidRPr="00684150" w:rsidRDefault="006B06C7" w:rsidP="0068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063D49" w:rsidRPr="00161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необходимо знакомить с информацией и технологиями, которые пригодятся им в будущем. Ребята должны быть вовлечены в исследовательские проекты, творческие занятия, в ходе которых они научатся изобретать, понимать, осваивать новое, быть открытыми и способными выражать собственные мысли, уметь принимать решения, помогать друг другу, формулировать интересы и осознавать возможности. Приобретаемый поисковый опыт поможет в дальнейшем успешно развивать творческие способности.</w:t>
      </w:r>
    </w:p>
    <w:p w:rsidR="003C7ABB" w:rsidRDefault="003C7ABB" w:rsidP="00063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ABB" w:rsidRDefault="003C7ABB" w:rsidP="00063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ABB" w:rsidRDefault="003C7ABB" w:rsidP="00063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AC0" w:rsidRDefault="000D2AC0" w:rsidP="00063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D2AC0" w:rsidSect="003C7ABB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2C7FD4" w:rsidRPr="007F3CD2" w:rsidRDefault="002C7FD4" w:rsidP="007F3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D2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педагогов</w:t>
      </w:r>
    </w:p>
    <w:p w:rsidR="002C7FD4" w:rsidRPr="007F3CD2" w:rsidRDefault="002C7FD4" w:rsidP="007F3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D2">
        <w:rPr>
          <w:rFonts w:ascii="Times New Roman" w:hAnsi="Times New Roman" w:cs="Times New Roman"/>
          <w:b/>
          <w:sz w:val="28"/>
          <w:szCs w:val="28"/>
        </w:rPr>
        <w:t>Предметно – пространственная среда</w:t>
      </w:r>
    </w:p>
    <w:p w:rsidR="002C7FD4" w:rsidRPr="007F3CD2" w:rsidRDefault="002C7FD4" w:rsidP="007F3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D2">
        <w:rPr>
          <w:rFonts w:ascii="Times New Roman" w:hAnsi="Times New Roman" w:cs="Times New Roman"/>
          <w:b/>
          <w:sz w:val="28"/>
          <w:szCs w:val="28"/>
        </w:rPr>
        <w:t xml:space="preserve">для формирования </w:t>
      </w:r>
      <w:r w:rsidR="007F3CD2" w:rsidRPr="007F3CD2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Pr="007F3CD2">
        <w:rPr>
          <w:rFonts w:ascii="Times New Roman" w:hAnsi="Times New Roman" w:cs="Times New Roman"/>
          <w:b/>
          <w:sz w:val="28"/>
          <w:szCs w:val="28"/>
        </w:rPr>
        <w:t xml:space="preserve"> – исследовательской деятельности у детей в условиях реализации ФГОС </w:t>
      </w:r>
      <w:proofErr w:type="gramStart"/>
      <w:r w:rsidRPr="007F3CD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063D49" w:rsidRPr="007F3CD2" w:rsidRDefault="00063D49" w:rsidP="00063D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15477" w:type="dxa"/>
        <w:jc w:val="center"/>
        <w:tblInd w:w="-743" w:type="dxa"/>
        <w:tblLook w:val="04A0"/>
      </w:tblPr>
      <w:tblGrid>
        <w:gridCol w:w="3614"/>
        <w:gridCol w:w="8082"/>
        <w:gridCol w:w="3781"/>
      </w:tblGrid>
      <w:tr w:rsidR="002C7FD4" w:rsidRPr="007F3CD2" w:rsidTr="007F3CD2">
        <w:trPr>
          <w:jc w:val="center"/>
        </w:trPr>
        <w:tc>
          <w:tcPr>
            <w:tcW w:w="15477" w:type="dxa"/>
            <w:gridSpan w:val="3"/>
          </w:tcPr>
          <w:p w:rsidR="002C7FD4" w:rsidRPr="007F3CD2" w:rsidRDefault="002C7FD4" w:rsidP="002C7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Содержание уголков экспериментальной деятельности</w:t>
            </w:r>
          </w:p>
        </w:tc>
      </w:tr>
      <w:tr w:rsidR="002C7FD4" w:rsidRPr="007F3CD2" w:rsidTr="007F3CD2">
        <w:trPr>
          <w:jc w:val="center"/>
        </w:trPr>
        <w:tc>
          <w:tcPr>
            <w:tcW w:w="15477" w:type="dxa"/>
            <w:gridSpan w:val="3"/>
          </w:tcPr>
          <w:p w:rsidR="002C7FD4" w:rsidRPr="007F3CD2" w:rsidRDefault="002C7FD4" w:rsidP="002C7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</w:rPr>
              <w:t>Младший дошкольный возраст</w:t>
            </w:r>
          </w:p>
        </w:tc>
      </w:tr>
      <w:tr w:rsidR="00063D49" w:rsidRPr="007F3CD2" w:rsidTr="007F3CD2">
        <w:trPr>
          <w:jc w:val="center"/>
        </w:trPr>
        <w:tc>
          <w:tcPr>
            <w:tcW w:w="3614" w:type="dxa"/>
          </w:tcPr>
          <w:p w:rsidR="00063D49" w:rsidRPr="007F3CD2" w:rsidRDefault="00063D49" w:rsidP="005830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дидактический      </w:t>
            </w:r>
          </w:p>
        </w:tc>
        <w:tc>
          <w:tcPr>
            <w:tcW w:w="8082" w:type="dxa"/>
          </w:tcPr>
          <w:p w:rsidR="00063D49" w:rsidRPr="007F3CD2" w:rsidRDefault="00063D49" w:rsidP="005830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оборудования</w:t>
            </w:r>
          </w:p>
        </w:tc>
        <w:tc>
          <w:tcPr>
            <w:tcW w:w="3781" w:type="dxa"/>
          </w:tcPr>
          <w:p w:rsidR="00063D49" w:rsidRPr="007F3CD2" w:rsidRDefault="00063D49" w:rsidP="005830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стимулирующий</w:t>
            </w:r>
          </w:p>
        </w:tc>
      </w:tr>
      <w:tr w:rsidR="00063D49" w:rsidRPr="007F3CD2" w:rsidTr="007F3CD2">
        <w:trPr>
          <w:jc w:val="center"/>
        </w:trPr>
        <w:tc>
          <w:tcPr>
            <w:tcW w:w="3614" w:type="dxa"/>
          </w:tcPr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-книги познавательного характера для младшего возраста; 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ематические альбомы; 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-коллекции:      семена разных растений, шишки, камешки и т.д.;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-коллекции «Подарки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:»</w:t>
            </w:r>
            <w:proofErr w:type="gramEnd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(зимы, весны, осени),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«Ткани».      </w:t>
            </w:r>
          </w:p>
        </w:tc>
        <w:tc>
          <w:tcPr>
            <w:tcW w:w="8082" w:type="dxa"/>
          </w:tcPr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Песок, глина; </w:t>
            </w:r>
            <w:r w:rsidR="007F3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набор игрушек резиновых и пластмассовых для игр в воде;      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для игр с мыльной пеной, красители - пищевые и не пищевые (гуашь, акварельные краски и др.). Простейшие приборы и приспособления: 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Лупы, сосуды для воды, «ящик ощущений» (чудесный мешочек), зеркальце для игр с «солнечным зайчиком», контейнеры из-под "киндер-сюрпризов" с отверстиями, внутрь помещены вещества и травы с разными запахами. 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«бросовый материал»: веревки, шнурки, тесьма, катушки деревянные, прищепки, пробки семена бобов, фасоли, гороха и т.д..</w:t>
            </w:r>
            <w:proofErr w:type="gramEnd"/>
          </w:p>
        </w:tc>
        <w:tc>
          <w:tcPr>
            <w:tcW w:w="3781" w:type="dxa"/>
          </w:tcPr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 на видном месте вывешиваются правила работы с материалами, доступные детям      младшего возраста.</w:t>
            </w:r>
          </w:p>
          <w:p w:rsidR="00063D49" w:rsidRPr="007F3CD2" w:rsidRDefault="00063D49" w:rsidP="005830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- персонажи, наделанные определенными чертами (почемучка) от 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proofErr w:type="gramEnd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моделируется проблемная ситуация.</w:t>
            </w:r>
          </w:p>
        </w:tc>
      </w:tr>
      <w:tr w:rsidR="00415400" w:rsidRPr="007F3CD2" w:rsidTr="007F3CD2">
        <w:trPr>
          <w:jc w:val="center"/>
        </w:trPr>
        <w:tc>
          <w:tcPr>
            <w:tcW w:w="15477" w:type="dxa"/>
            <w:gridSpan w:val="3"/>
          </w:tcPr>
          <w:p w:rsidR="00415400" w:rsidRPr="007F3CD2" w:rsidRDefault="00415400" w:rsidP="004154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Средний дошкольный возраст</w:t>
            </w:r>
          </w:p>
        </w:tc>
      </w:tr>
      <w:tr w:rsidR="00415400" w:rsidRPr="007F3CD2" w:rsidTr="007F3CD2">
        <w:trPr>
          <w:jc w:val="center"/>
        </w:trPr>
        <w:tc>
          <w:tcPr>
            <w:tcW w:w="3614" w:type="dxa"/>
          </w:tcPr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-книги познавательного характера для среднего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возраста;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- тематические альбомы;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-коллекции: семена разных растений, шишки, камешки,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-коллекции «Подарки»: (зимы, весны, осени), "Ткани".     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"Бумага", "Пуговицы" - Мини-музей (тематика различна, наприм</w:t>
            </w:r>
            <w:r w:rsidR="003C7ABB" w:rsidRPr="007F3CD2">
              <w:rPr>
                <w:rFonts w:ascii="Times New Roman" w:hAnsi="Times New Roman" w:cs="Times New Roman"/>
                <w:sz w:val="20"/>
                <w:szCs w:val="20"/>
              </w:rPr>
              <w:t>ер "камни", чудеса из стекла</w:t>
            </w:r>
            <w:proofErr w:type="gramStart"/>
            <w:r w:rsidR="003C7ABB" w:rsidRPr="007F3CD2">
              <w:rPr>
                <w:rFonts w:ascii="Times New Roman" w:hAnsi="Times New Roman" w:cs="Times New Roman"/>
                <w:sz w:val="20"/>
                <w:szCs w:val="20"/>
              </w:rPr>
              <w:t>"и</w:t>
            </w:r>
            <w:proofErr w:type="gramEnd"/>
            <w:r w:rsidR="003C7ABB"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8082" w:type="dxa"/>
          </w:tcPr>
          <w:p w:rsidR="00415400" w:rsidRPr="007F3CD2" w:rsidRDefault="00415400" w:rsidP="005830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-Песок, глина; </w:t>
            </w:r>
          </w:p>
          <w:p w:rsidR="00415400" w:rsidRPr="007F3CD2" w:rsidRDefault="00415400" w:rsidP="005830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набор игрушек резиновых и пластмассовых для игр в воде;      </w:t>
            </w:r>
          </w:p>
          <w:p w:rsidR="00415400" w:rsidRPr="007F3CD2" w:rsidRDefault="00415400" w:rsidP="005830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-материалы для игр с мыльной пеной, красители - пищевые и не пищевые (гуашь, акварельные краски и др.); </w:t>
            </w:r>
          </w:p>
          <w:p w:rsidR="00415400" w:rsidRPr="007F3CD2" w:rsidRDefault="00415400" w:rsidP="005830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 семена бобов, фасоли, гороха и т.д.;</w:t>
            </w:r>
          </w:p>
          <w:p w:rsidR="00415400" w:rsidRPr="007F3CD2" w:rsidRDefault="00415400" w:rsidP="005830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-некоторые пищевые продукты (сахар, соль, крахмал, мука); </w:t>
            </w:r>
          </w:p>
          <w:p w:rsidR="00415400" w:rsidRPr="007F3CD2" w:rsidRDefault="00415400" w:rsidP="0058304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-Простейшие приборы и приспособления: лупы, сосуды для воды, «ящик ощущений» (чудесный мешочек), зеркальце для игр с «солнечным зайчиком», контейнеры из "киндер-сюрпризов" с отверстиями, внутрь помещены вещества и травы с разными запахами</w:t>
            </w:r>
            <w:r w:rsidR="007F3C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«бросовый материал»: веревки, шнурки, тесьма, катушки деревянные, прищепки, пробки….</w:t>
            </w:r>
            <w:proofErr w:type="gramEnd"/>
          </w:p>
        </w:tc>
        <w:tc>
          <w:tcPr>
            <w:tcW w:w="3781" w:type="dxa"/>
          </w:tcPr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-на видном месте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вывешиваются правила работы с материалами, доступные детям среднего возраста: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-персонажи, наделанные определенными чертами (почемучка) от 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proofErr w:type="gramEnd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моделируется проблемная ситуация; </w:t>
            </w:r>
          </w:p>
          <w:p w:rsidR="00415400" w:rsidRPr="007F3CD2" w:rsidRDefault="00415400" w:rsidP="005830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 карточки-схемы проведения экспериментов (заполняется воспитателем): ставится дата, опыт зарисовывается.</w:t>
            </w:r>
          </w:p>
        </w:tc>
      </w:tr>
      <w:tr w:rsidR="00415400" w:rsidRPr="007F3CD2" w:rsidTr="007F3CD2">
        <w:trPr>
          <w:jc w:val="center"/>
        </w:trPr>
        <w:tc>
          <w:tcPr>
            <w:tcW w:w="15477" w:type="dxa"/>
            <w:gridSpan w:val="3"/>
          </w:tcPr>
          <w:p w:rsidR="00415400" w:rsidRPr="007F3CD2" w:rsidRDefault="00415400" w:rsidP="00415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b/>
                <w:sz w:val="20"/>
                <w:szCs w:val="20"/>
              </w:rPr>
              <w:t>Старший дошкольный возраст</w:t>
            </w:r>
          </w:p>
        </w:tc>
      </w:tr>
      <w:tr w:rsidR="00415400" w:rsidRPr="007F3CD2" w:rsidTr="007F3CD2">
        <w:trPr>
          <w:jc w:val="center"/>
        </w:trPr>
        <w:tc>
          <w:tcPr>
            <w:tcW w:w="3614" w:type="dxa"/>
          </w:tcPr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-схемы, таблицы, модели с алгоритмами выполнения опытов;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-серии картин с изображением природных сообществ;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 книги познавательного характера, атласы;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 тематические альбомы; - коллекции     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мини-музей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(тематика различна, например </w:t>
            </w:r>
            <w:proofErr w:type="gramEnd"/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«Часы бывают разные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:»</w:t>
            </w:r>
            <w:proofErr w:type="gramEnd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,      «Изделия из камня» и т.д..</w:t>
            </w:r>
          </w:p>
        </w:tc>
        <w:tc>
          <w:tcPr>
            <w:tcW w:w="8082" w:type="dxa"/>
          </w:tcPr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-материалы распределены по разделам: «Песок, глина, вода», «Звук», «Магниты», «Бумага», «Свет», «Стекло», «Резина» ; </w:t>
            </w:r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-природный материал: камни, ракушки, спил и листья деревьев, мох, семена, почва разных видов и др.; </w:t>
            </w:r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-утилизированный материал: проволока, кусочки кожи, меха, ткани, пластмассы, дерева, пробки и т.д.;</w:t>
            </w:r>
            <w:proofErr w:type="gramEnd"/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 технические материалы: гайки, скрепки, болты, гвозди, винтики, шурупы, детали конструктора и т.д.; </w:t>
            </w:r>
            <w:proofErr w:type="gramEnd"/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 разные виды бумаги: обычная, картон, наждачная, копировальная и т.д.; красители: пищевые и непищевые (гуашь, акварельные краски и др.); </w:t>
            </w:r>
            <w:proofErr w:type="gramEnd"/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медицинские материалы: пипетки с закругленными концами, колбы, деревянные палочки, мерные ложки, резиновые груши, шприцы без игл прочие материалы: зеркала, воздушные шары, масло, мука, соль, сахар, цветные и прозрачные стекла, свечи и др. </w:t>
            </w:r>
            <w:proofErr w:type="gramEnd"/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сито, воронки половинки мыльниц, формы для льда;</w:t>
            </w:r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-проборы-помощники: увеличительное стекло, песочные часы, микроскопы, лупы </w:t>
            </w:r>
          </w:p>
          <w:p w:rsidR="00415400" w:rsidRPr="007F3CD2" w:rsidRDefault="00415400" w:rsidP="005830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клеенчатые фартуки, нарукавники, резиновые перчатки, тряпки.      </w:t>
            </w:r>
          </w:p>
        </w:tc>
        <w:tc>
          <w:tcPr>
            <w:tcW w:w="3781" w:type="dxa"/>
          </w:tcPr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-мини-стенд </w:t>
            </w:r>
            <w:r w:rsidRPr="007F3CD2">
              <w:rPr>
                <w:rFonts w:ascii="Times New Roman" w:hAnsi="Times New Roman" w:cs="Times New Roman"/>
                <w:i/>
                <w:sz w:val="20"/>
                <w:szCs w:val="20"/>
              </w:rPr>
              <w:t>«О чем хочу узнать завтра»;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- личные блокноты детей для фиксации результатов опытов;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-карточки подсказки (разрешающие запрещающие знаки) «Что можно, что нельзя».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-персонажи, наделанные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определенными чертами </w:t>
            </w:r>
          </w:p>
          <w:p w:rsidR="00415400" w:rsidRPr="007F3CD2" w:rsidRDefault="00415400" w:rsidP="005830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(почемучка) от </w:t>
            </w:r>
            <w:proofErr w:type="gramStart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proofErr w:type="gramEnd"/>
            <w:r w:rsidRPr="007F3CD2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моделируется проблемная ситуация.</w:t>
            </w:r>
          </w:p>
        </w:tc>
      </w:tr>
    </w:tbl>
    <w:p w:rsidR="000D2AC0" w:rsidRDefault="000D2AC0" w:rsidP="00063D49">
      <w:pPr>
        <w:sectPr w:rsidR="000D2AC0" w:rsidSect="007F3CD2">
          <w:pgSz w:w="16838" w:h="11906" w:orient="landscape"/>
          <w:pgMar w:top="851" w:right="425" w:bottom="426" w:left="851" w:header="709" w:footer="709" w:gutter="0"/>
          <w:cols w:space="708"/>
          <w:docGrid w:linePitch="360"/>
        </w:sectPr>
      </w:pPr>
    </w:p>
    <w:p w:rsidR="00063D49" w:rsidRDefault="00063D49" w:rsidP="00063D49"/>
    <w:p w:rsidR="00063D49" w:rsidRDefault="00063D49" w:rsidP="00063D49"/>
    <w:p w:rsidR="00063D49" w:rsidRDefault="00063D49" w:rsidP="00063D49"/>
    <w:p w:rsidR="00063D49" w:rsidRDefault="00063D49" w:rsidP="00063D49"/>
    <w:p w:rsidR="00063D49" w:rsidRDefault="00063D49" w:rsidP="00063D49"/>
    <w:p w:rsidR="00212D83" w:rsidRDefault="00212D83"/>
    <w:sectPr w:rsidR="00212D83" w:rsidSect="003C7A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3D49"/>
    <w:rsid w:val="00063D49"/>
    <w:rsid w:val="000D2AC0"/>
    <w:rsid w:val="001230AC"/>
    <w:rsid w:val="0016164D"/>
    <w:rsid w:val="00212D83"/>
    <w:rsid w:val="002C7FD4"/>
    <w:rsid w:val="002F2D98"/>
    <w:rsid w:val="003C1A9F"/>
    <w:rsid w:val="003C7ABB"/>
    <w:rsid w:val="00415400"/>
    <w:rsid w:val="00684150"/>
    <w:rsid w:val="006B06C7"/>
    <w:rsid w:val="007808CF"/>
    <w:rsid w:val="007A69DF"/>
    <w:rsid w:val="007B3B8C"/>
    <w:rsid w:val="007C5256"/>
    <w:rsid w:val="007F3CD2"/>
    <w:rsid w:val="008D62B8"/>
    <w:rsid w:val="00921324"/>
    <w:rsid w:val="00940C41"/>
    <w:rsid w:val="00AD0DF1"/>
    <w:rsid w:val="00C35A27"/>
    <w:rsid w:val="00D51CCE"/>
    <w:rsid w:val="00E56E54"/>
    <w:rsid w:val="00E75830"/>
    <w:rsid w:val="00EC604C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D49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2"/>
    <w:uiPriority w:val="39"/>
    <w:rsid w:val="00063D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63D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063D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3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C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cp:lastPrinted>2018-02-01T10:34:00Z</cp:lastPrinted>
  <dcterms:created xsi:type="dcterms:W3CDTF">2021-05-19T11:47:00Z</dcterms:created>
  <dcterms:modified xsi:type="dcterms:W3CDTF">2021-05-19T11:48:00Z</dcterms:modified>
</cp:coreProperties>
</file>